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56" w:rsidRPr="00EF0DE1" w:rsidRDefault="001C5E56" w:rsidP="00D05A0C">
      <w:pPr>
        <w:pBdr>
          <w:bottom w:val="single" w:sz="4" w:space="1" w:color="auto"/>
        </w:pBdr>
        <w:rPr>
          <w:rFonts w:cs="Calibri"/>
          <w:b/>
          <w:bCs/>
          <w:sz w:val="32"/>
          <w:szCs w:val="32"/>
          <w:lang w:val="es-ES"/>
        </w:rPr>
      </w:pPr>
      <w:r w:rsidRPr="00EF0DE1">
        <w:rPr>
          <w:rFonts w:cs="Calibri"/>
          <w:b/>
          <w:bCs/>
          <w:sz w:val="32"/>
          <w:szCs w:val="32"/>
          <w:lang w:val="es-ES"/>
        </w:rPr>
        <w:t>BLOQUES DE MEDIDAS DEL PLAN DE ACCIÓN PARA EL CLIMA Y LA ENERGÍA SOSTENIBLE DEL MUNICIPIO DE SANTA ÚRSULA</w:t>
      </w:r>
    </w:p>
    <w:p w:rsidR="001C5E56" w:rsidRPr="007225B2" w:rsidRDefault="001C5E56">
      <w:pPr>
        <w:rPr>
          <w:rFonts w:cs="Calibri"/>
          <w:lang w:val="es-ES"/>
        </w:rPr>
      </w:pPr>
    </w:p>
    <w:p w:rsidR="001C5E56" w:rsidRPr="007225B2" w:rsidRDefault="001C5E56">
      <w:pPr>
        <w:rPr>
          <w:rFonts w:cs="Calibri"/>
          <w:i/>
          <w:iCs/>
          <w:lang w:val="es-ES"/>
        </w:rPr>
      </w:pPr>
      <w:r w:rsidRPr="007225B2">
        <w:rPr>
          <w:rFonts w:cs="Calibri"/>
          <w:i/>
          <w:iCs/>
          <w:lang w:val="es-ES"/>
        </w:rPr>
        <w:t>04/09/2020</w:t>
      </w:r>
    </w:p>
    <w:p w:rsidR="001C5E56" w:rsidRPr="007225B2" w:rsidRDefault="001C5E56">
      <w:pPr>
        <w:rPr>
          <w:rFonts w:cs="Calibri"/>
          <w:lang w:val="es-ES"/>
        </w:rPr>
      </w:pPr>
    </w:p>
    <w:p w:rsidR="001C5E56" w:rsidRPr="00CF41F9" w:rsidRDefault="001C5E56">
      <w:pPr>
        <w:rPr>
          <w:rFonts w:cs="Calibri"/>
          <w:b/>
          <w:bCs/>
          <w:sz w:val="28"/>
          <w:szCs w:val="28"/>
          <w:lang w:val="es-ES"/>
        </w:rPr>
      </w:pPr>
      <w:r w:rsidRPr="00CF41F9">
        <w:rPr>
          <w:rFonts w:cs="Calibri"/>
          <w:b/>
          <w:bCs/>
          <w:sz w:val="28"/>
          <w:szCs w:val="28"/>
          <w:lang w:val="es-ES"/>
        </w:rPr>
        <w:t>MEDIDAS TRANSVERSALES:</w:t>
      </w:r>
    </w:p>
    <w:p w:rsidR="001C5E56" w:rsidRPr="00AB3049" w:rsidRDefault="001C5E56">
      <w:pPr>
        <w:rPr>
          <w:rFonts w:cs="Calibri"/>
          <w:b/>
          <w:bCs/>
          <w:lang w:val="es-ES"/>
        </w:rPr>
      </w:pPr>
    </w:p>
    <w:tbl>
      <w:tblPr>
        <w:tblW w:w="13985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20"/>
      </w:tblPr>
      <w:tblGrid>
        <w:gridCol w:w="1838"/>
        <w:gridCol w:w="3036"/>
        <w:gridCol w:w="3037"/>
        <w:gridCol w:w="3037"/>
        <w:gridCol w:w="3037"/>
      </w:tblGrid>
      <w:tr w:rsidR="001C5E56" w:rsidRPr="00C423EB" w:rsidTr="00C423EB">
        <w:trPr>
          <w:cantSplit/>
          <w:tblHeader/>
          <w:jc w:val="center"/>
        </w:trPr>
        <w:tc>
          <w:tcPr>
            <w:tcW w:w="18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ÁREA DE INTERVENCIÓN</w:t>
            </w:r>
          </w:p>
        </w:tc>
        <w:tc>
          <w:tcPr>
            <w:tcW w:w="3036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DOCUMENTO PRELIMINAR PACES</w:t>
            </w:r>
          </w:p>
        </w:tc>
        <w:tc>
          <w:tcPr>
            <w:tcW w:w="303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APORTACIONES MESA INTERSECTORIAL EPSP</w:t>
            </w:r>
            <w:r w:rsidRPr="00C423EB">
              <w:rPr>
                <w:rStyle w:val="FootnoteReference"/>
                <w:rFonts w:cs="Calibri"/>
                <w:bCs/>
                <w:color w:val="FFFFFF"/>
                <w:lang w:val="es-ES"/>
              </w:rPr>
              <w:footnoteReference w:id="1"/>
            </w:r>
          </w:p>
        </w:tc>
        <w:tc>
          <w:tcPr>
            <w:tcW w:w="303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APORTACIONES INTERNAS ÁREA DE PARTICIPACIÓN</w:t>
            </w:r>
          </w:p>
        </w:tc>
        <w:tc>
          <w:tcPr>
            <w:tcW w:w="3037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APORTACIONES DEL EQUIPO TÉCNICO</w:t>
            </w: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 w:val="restart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GOBERNANZA</w:t>
            </w: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Definición de una estructura organizativa y competencial adecuada</w:t>
            </w: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Capacitar y cualificar al personal del ayuntamiento para crear una comisión Interdepartamental de buenas prácticas sostenibles entre las diferentes áreas y hacerlo extensivo a otros recursos públicos (colegios, Centro de Salud, colectivos y asociaciones…)</w:t>
            </w:r>
            <w:r w:rsidRPr="00C423EB">
              <w:rPr>
                <w:rFonts w:cs="Calibri"/>
                <w:bCs/>
                <w:lang w:val="es-ES"/>
              </w:rPr>
              <w:tab/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Creación de una comisión interdepartamental de Buenas Prácticas Sostenibles entre las diferentes áreas y recursos municipales (puede ser la propia Mesa de Coordinación Intersectorial de la Estrategia de la Salud que adopte también esta función para no duplicar órganos)</w:t>
            </w: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Llevar a cabo convenios de colaboración y desarrollo de proyectos con otras entidades especialistas (ITER, ITC, FGULL…)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 w:val="restart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COMUNICACIÓN Y PARTICIPACIÓN</w:t>
            </w: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 xml:space="preserve">Plan de comunicación y participación del PACES hasta el horizonte 2030 </w:t>
            </w: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Programas de educación ambiental dirigidos a los empleados públicos y a los usuarios de las instalaciones municipales, que fomenten el ahorro de energía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Publicar los consumos energéticos municipales</w:t>
            </w: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Dar difusión a la población de la normativa vigente y de las medidas de ahorro, bonificaciones e incentivos que existen al respecto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Campaña de sensibilización dirigida a trabajadores/as y a usuarios/as de los edificios e instalaciones municipales</w:t>
            </w: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</w:rPr>
              <w:t>Hacer una campaña que incentive el empleo de técnicas de arquitectura bioclimática en la autoconstrucción de viviendas particulares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Implantar programa de Educación Ambiental dirigidos a los Hogares (tipo Hogares Verdes)</w:t>
            </w: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Promover acciones de fomento del transporte sostenible dirigidas a los colegios y a las empresas del municipio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Creación de un portal web en materia de Cambio Climático, donde se muestre además de las acciones que se llevan a cabo a nivel municipal, recomendaciones y buenas prácticas a nivel del hogar para la adaptación al Cambio Climático</w:t>
            </w: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lang w:val="es-ES"/>
              </w:rPr>
            </w:pPr>
            <w:r w:rsidRPr="00C423EB">
              <w:rPr>
                <w:rFonts w:cs="Calibri"/>
                <w:lang w:val="es-ES"/>
              </w:rPr>
              <w:t>Diseñar un plan de comunicación que incluya acciones desde lo concreto hasta lo general, es decir, que se informe de los recursos, que se difundan las pequeñas acciones y se visibilicen, y que luego éstas se enmarquen en el PACES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Programa específico dirigido a las empresas del municipio “Empresas más Sostenibles”</w:t>
            </w: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lang w:val="es-ES"/>
              </w:rPr>
            </w:pPr>
            <w:r w:rsidRPr="00C423EB">
              <w:rPr>
                <w:rFonts w:cs="Calibri"/>
                <w:lang w:val="es-ES"/>
              </w:rPr>
              <w:t>Creación de un portal web en materia de Cambio Climático, donde se muestre además de las acciones que se llevan a cabo a nivel municipal, recomendaciones y buenas prácticas a nivel del hogar para la adaptación al Cambio Climático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C423EB">
              <w:rPr>
                <w:rFonts w:ascii="Calibri" w:hAnsi="Calibri" w:cs="Calibri"/>
                <w:b w:val="0"/>
                <w:bCs/>
                <w:sz w:val="22"/>
                <w:szCs w:val="22"/>
              </w:rPr>
              <w:t>Establecer un programa de educación y concienciación para fomentar el transporte público en los colegios y en las empresas</w:t>
            </w: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lang w:val="es-ES"/>
              </w:rPr>
            </w:pPr>
            <w:r w:rsidRPr="00C423EB">
              <w:rPr>
                <w:rFonts w:cs="Calibri"/>
                <w:lang w:val="es-ES"/>
              </w:rPr>
              <w:t>Llevar a cabo un programa de educación ambiental dirigido a las familias para el empleo de medias de ahorro de agua, de energía y la reducción en la generación de residuos, así como la reutilización y el fomento del reciclaje. Del tipo del Programa Hogares Verdes que se llevó a cabo hace unos años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C423EB">
              <w:rPr>
                <w:rFonts w:ascii="Calibri" w:hAnsi="Calibri" w:cs="Calibri"/>
                <w:b w:val="0"/>
                <w:bCs/>
                <w:sz w:val="22"/>
                <w:szCs w:val="22"/>
              </w:rPr>
              <w:t>Llevar a cabo acciones de promoción del transporte colectivo o formas más sostenibles de transporte como la bicicleta o a pie, entre los empleados públicos y en las empresas del municipio</w:t>
            </w: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lang w:val="es-ES"/>
              </w:rPr>
            </w:pPr>
            <w:r w:rsidRPr="00C423EB">
              <w:rPr>
                <w:rFonts w:cs="Calibri"/>
                <w:lang w:val="es-ES"/>
              </w:rPr>
              <w:t>Programa específico dirigido a las empresas del municipio “Empresas más Sostenibles”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lang w:val="es-ES"/>
              </w:rPr>
            </w:pPr>
            <w:r w:rsidRPr="00C423EB">
              <w:rPr>
                <w:rFonts w:cs="Calibri"/>
                <w:lang w:val="es-ES"/>
              </w:rPr>
              <w:t>Implantar un sistema de gestión de la Huella hídrica y la huella energética en los edificios Públicos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lang w:val="es-ES"/>
              </w:rPr>
            </w:pPr>
            <w:r w:rsidRPr="00C423EB">
              <w:rPr>
                <w:rFonts w:cs="Calibri"/>
                <w:lang w:val="es-ES"/>
              </w:rPr>
              <w:t>Que el cuidado de nuestro entorno se plantee como un eje transversal en la Programación General del Año en los centros educativos del municipio (tanto en primaria, como en secundaria) y se trabaje involucrando y en colaboración con las familias y el ayuntamiento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E2EFD9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</w:tbl>
    <w:p w:rsidR="001C5E56" w:rsidRDefault="001C5E56">
      <w:pPr>
        <w:rPr>
          <w:rFonts w:cs="Calibri"/>
          <w:lang w:val="es-ES"/>
        </w:rPr>
      </w:pPr>
    </w:p>
    <w:p w:rsidR="001C5E56" w:rsidRPr="007225B2" w:rsidRDefault="001C5E56">
      <w:pPr>
        <w:rPr>
          <w:rFonts w:cs="Calibri"/>
          <w:lang w:val="es-ES"/>
        </w:rPr>
      </w:pPr>
    </w:p>
    <w:p w:rsidR="001C5E56" w:rsidRDefault="001C5E56">
      <w:pPr>
        <w:rPr>
          <w:rFonts w:cs="Calibri"/>
          <w:b/>
          <w:bCs/>
          <w:lang w:val="es-ES"/>
        </w:rPr>
      </w:pPr>
      <w:r>
        <w:rPr>
          <w:rFonts w:cs="Calibri"/>
          <w:b/>
          <w:bCs/>
          <w:lang w:val="es-ES"/>
        </w:rPr>
        <w:br w:type="page"/>
      </w:r>
    </w:p>
    <w:p w:rsidR="001C5E56" w:rsidRPr="00CF41F9" w:rsidRDefault="001C5E56">
      <w:pPr>
        <w:rPr>
          <w:rFonts w:cs="Calibri"/>
          <w:b/>
          <w:bCs/>
          <w:sz w:val="28"/>
          <w:szCs w:val="28"/>
          <w:lang w:val="es-ES"/>
        </w:rPr>
      </w:pPr>
      <w:r w:rsidRPr="00CF41F9">
        <w:rPr>
          <w:rFonts w:cs="Calibri"/>
          <w:b/>
          <w:bCs/>
          <w:sz w:val="28"/>
          <w:szCs w:val="28"/>
          <w:lang w:val="es-ES"/>
        </w:rPr>
        <w:t>MEDIDAS DE MITIGACIÓN DEL CAMBIO CLIMÁTICO:</w:t>
      </w:r>
    </w:p>
    <w:p w:rsidR="001C5E56" w:rsidRPr="00AB3049" w:rsidRDefault="001C5E56">
      <w:pPr>
        <w:rPr>
          <w:rFonts w:cs="Calibri"/>
          <w:b/>
          <w:bCs/>
          <w:lang w:val="es-ES"/>
        </w:rPr>
      </w:pPr>
    </w:p>
    <w:tbl>
      <w:tblPr>
        <w:tblW w:w="13989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020"/>
      </w:tblPr>
      <w:tblGrid>
        <w:gridCol w:w="1838"/>
        <w:gridCol w:w="3037"/>
        <w:gridCol w:w="3038"/>
        <w:gridCol w:w="3038"/>
        <w:gridCol w:w="3038"/>
      </w:tblGrid>
      <w:tr w:rsidR="001C5E56" w:rsidRPr="00C423EB" w:rsidTr="00C423EB">
        <w:trPr>
          <w:cantSplit/>
          <w:tblHeader/>
          <w:jc w:val="center"/>
        </w:trPr>
        <w:tc>
          <w:tcPr>
            <w:tcW w:w="18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C45911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ÁREA DE INTERVENCIÓN</w:t>
            </w:r>
          </w:p>
        </w:tc>
        <w:tc>
          <w:tcPr>
            <w:tcW w:w="303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C45911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DOCUMENTO PRELIMINAR PACES</w:t>
            </w:r>
          </w:p>
        </w:tc>
        <w:tc>
          <w:tcPr>
            <w:tcW w:w="3038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C45911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APORTACIONES MESA INTERSECTORIAL EPSP</w:t>
            </w:r>
          </w:p>
        </w:tc>
        <w:tc>
          <w:tcPr>
            <w:tcW w:w="3038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C45911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APORTACIONES INTERNAS ÁREA DE PARTICIPACIÓN</w:t>
            </w:r>
          </w:p>
        </w:tc>
        <w:tc>
          <w:tcPr>
            <w:tcW w:w="3038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C45911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APORTACIONES DEL EQUIPO TÉCNICO</w:t>
            </w: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 w:val="restart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CONTRATACIÓN PÚBLICA DE PRODUCTOS Y SERVICIOS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Contratación pública de electricidad de procedencia 100% renovables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Premiar a las empresas más sostenibles con la adjudicación de contratos, y no sólo a las propuestas más económicas</w:t>
            </w: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Contratación pública de obras y servicios con cláusulas ambientales aplicando criterios de baja huella de carbono, eficiencia energética e impulso de las energías renovables.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Aumentar los requisitos y especificidades relativas a sostenibilidad ambiental en las cláusulas que hacen referencia a la baja huella de carbono, eficiencia energética, hídrica e impulso del empleo de energías renovables o acciones de adaptación o mitigación frente al cambio climático en la redacción de los pliegos de contratación</w:t>
            </w: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 w:val="restart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EDIFICIOS, EQUIPAMIENTOS/ INSTALACIONES MUNICIPALES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 xml:space="preserve">Sustitución de luminaria, equipos de calefacción y ACS por equipos sustentados por energías renovables 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Instalar detectores de presencia entre otros sistemas de domótica para propiciar el ahorro de energía (y también hacerlo extensivo para aplicarlo en ahorro de agua)</w:t>
            </w: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Control de presencia para la iluminación interior de los edificios públicos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 xml:space="preserve">Certificación energética de edificios/instalaciones municipales y acciones para la mejora de la calificación 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 w:val="restart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EDIFICIOS, EQUIPAMIENTOS/ INSTALACIONES RESIDENCIALES Y TERCIARIAS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 xml:space="preserve">Promoción e incentivo a la mejora de la calificación energética de edificios terciarios y residenciales 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Mantener la bonificación en el pago del IBI (50% durante 50 años) a las viviendas que instalen placas solares en el municipio</w:t>
            </w: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Fomentar la implantación de técnicas arquitectónicas bioclimáticas en la construcción de edificios públicos y crear incentivos para su implementación a nivel particular.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Fomento de las comunidades energéticas locales (gestión comunitaria de la energía)</w:t>
            </w: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 xml:space="preserve">Impulso e incentivo de las energías renovables (solar fotovoltaica, solar térmica, biomasa, geotermia) 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Establecer un sistema de bonificación para aquellas viviendas antiguas que hagan obras de mejora al objeto de aumentar su eficiencia energética</w:t>
            </w: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Establecer bonificaciones fiscales en licencias de obra para mejorar la eficiencia energética en las viviendas particulares o comunidades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Verificación, control y aplicación efectiva de las exigencias básicas de ahorro de energía (he) del código técnico de la edificación  (etc.) en  edificios  de nueva construcción y  en intervenciones sobre edificios existentes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Establecer Bonificaciones para la adquisición de productos y equipos de menor consumo energético</w:t>
            </w: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Campañas para incentivar el ahorro energético en el hogar y el sector servicios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Propiciar la sustitución paulatina de las luminarias en el sector residencial y terciario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Establecer un distintivo municipal a la excelencia en sostenibilidad local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ALUMBRADO PÚBLICO EXTERIOR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Sustitución por un sistema de alumbrado inteligente LED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TRANSPORTE FLOTA MUNICIPAL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Sustitución de los vehículos de la flota municipal por vehículos de energías alternativas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contextualSpacing/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Crear las plataformas adecuadas para establecer los siguientes programas:</w:t>
            </w:r>
          </w:p>
          <w:p w:rsidR="001C5E56" w:rsidRPr="00C423EB" w:rsidRDefault="001C5E56" w:rsidP="00C423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2" w:hanging="282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C423EB">
              <w:rPr>
                <w:rFonts w:ascii="Calibri" w:hAnsi="Calibri" w:cs="Calibri"/>
                <w:b w:val="0"/>
                <w:bCs/>
                <w:sz w:val="22"/>
                <w:szCs w:val="22"/>
              </w:rPr>
              <w:t>Programa para compartir coche dirigido a los empleados públicos</w:t>
            </w:r>
          </w:p>
          <w:p w:rsidR="001C5E56" w:rsidRPr="00C423EB" w:rsidRDefault="001C5E56" w:rsidP="00C423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2" w:hanging="282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C423EB">
              <w:rPr>
                <w:rFonts w:ascii="Calibri" w:hAnsi="Calibri" w:cs="Calibri"/>
                <w:b w:val="0"/>
                <w:bCs/>
                <w:sz w:val="22"/>
                <w:szCs w:val="22"/>
              </w:rPr>
              <w:t>Programa para fomentar el teletrabajo y las video-reuniones, que sea extensivo, en general, a todas las administraciones municipales y supramunicipales.</w:t>
            </w: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 w:val="restart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TRANSPORTE PÚBLICO, PRIVADO Y COMERCIAL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Incentivos fiscales en el IVTM para vehículos eficientes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Crear una línea de transporte público urbano, que conecte el casco con los barrios</w:t>
            </w:r>
          </w:p>
        </w:tc>
        <w:tc>
          <w:tcPr>
            <w:tcW w:w="3038" w:type="dxa"/>
          </w:tcPr>
          <w:p w:rsidR="001C5E56" w:rsidRPr="00C423EB" w:rsidRDefault="001C5E56" w:rsidP="00C423E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C423EB">
              <w:rPr>
                <w:rFonts w:ascii="Calibri" w:hAnsi="Calibri" w:cs="Calibri"/>
                <w:b w:val="0"/>
                <w:bCs/>
                <w:sz w:val="22"/>
                <w:szCs w:val="22"/>
              </w:rPr>
              <w:t>Programa “Comparte el Coche”. Ofrecer un servicio en la web municipal para que los usuarios de vehículos privados puedan comunicarse y compartir su coche para minimizar gastos y ahorrar combustible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 xml:space="preserve">Mejora de los trazados peatonales dentro del término municipal 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Crear un servicio de taxi compartido para dar cabida a la comunicación entre barrios, donde no puede llegar una guagua</w:t>
            </w:r>
          </w:p>
        </w:tc>
        <w:tc>
          <w:tcPr>
            <w:tcW w:w="3038" w:type="dxa"/>
          </w:tcPr>
          <w:p w:rsidR="001C5E56" w:rsidRPr="00C423EB" w:rsidRDefault="001C5E56" w:rsidP="00C423E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C423EB">
              <w:rPr>
                <w:rFonts w:ascii="Calibri" w:hAnsi="Calibri" w:cs="Calibri"/>
                <w:b w:val="0"/>
                <w:bCs/>
                <w:sz w:val="22"/>
                <w:szCs w:val="22"/>
              </w:rPr>
              <w:t>Señalizar rutas específicas a pie en el municipio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Establecimiento de puntos de recarga y lugares de aparcamiento reservado para vehículos eléctricos, híbridos y GLP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 xml:space="preserve">Incentivar a las empresas dedicadas al servicio público de transporte para que renueven su flota por vehículos  </w:t>
            </w:r>
          </w:p>
        </w:tc>
        <w:tc>
          <w:tcPr>
            <w:tcW w:w="3038" w:type="dxa"/>
          </w:tcPr>
          <w:p w:rsidR="001C5E56" w:rsidRPr="00C423EB" w:rsidRDefault="001C5E56" w:rsidP="00C423E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C423EB">
              <w:rPr>
                <w:rFonts w:ascii="Calibri" w:hAnsi="Calibri" w:cs="Calibri"/>
                <w:b w:val="0"/>
                <w:bCs/>
                <w:sz w:val="22"/>
                <w:szCs w:val="22"/>
              </w:rPr>
              <w:t>Fomentar el teletrabajo, las teleconferencias o formaciones “online”, e incluso las reuniones virtuales para evitar desplazamientos innecesarios…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 xml:space="preserve">Sistema público de bicicletas </w:t>
            </w:r>
          </w:p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Difusión de los incentivos a la renovación de vehículos alternativos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Crear y señalizar rutas a pie específicas en el municipio</w:t>
            </w: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Realizar un PMUS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Convenio de sustitución paulatina de la flota de Guaguas por vehículos híbridos o menos contaminantes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Cursos de circulación en bicicleta por núcleo urbano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PRODUCCIÓN LOCAL DE ENERGÍA ELÉCTRICA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Instalación de paneles fotovoltaicos en edificios municipales</w:t>
            </w: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Crear incentivos económicos, o bonificaciones para la instalación de energías alternativas dirigidas a edificios residenciales y terciarios</w:t>
            </w:r>
          </w:p>
        </w:tc>
        <w:tc>
          <w:tcPr>
            <w:tcW w:w="3038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  <w:tc>
          <w:tcPr>
            <w:tcW w:w="3038" w:type="dxa"/>
            <w:shd w:val="clear" w:color="auto" w:fill="FBE4D5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</w:p>
        </w:tc>
      </w:tr>
    </w:tbl>
    <w:p w:rsidR="001C5E56" w:rsidRPr="007225B2" w:rsidRDefault="001C5E56" w:rsidP="00AB3049">
      <w:pPr>
        <w:rPr>
          <w:rFonts w:cs="Calibri"/>
          <w:lang w:val="es-ES"/>
        </w:rPr>
      </w:pPr>
    </w:p>
    <w:p w:rsidR="001C5E56" w:rsidRPr="007225B2" w:rsidRDefault="001C5E56">
      <w:pPr>
        <w:rPr>
          <w:rFonts w:cs="Calibri"/>
          <w:lang w:val="es-ES"/>
        </w:rPr>
      </w:pPr>
    </w:p>
    <w:p w:rsidR="001C5E56" w:rsidRDefault="001C5E56">
      <w:pPr>
        <w:rPr>
          <w:rFonts w:cs="Calibri"/>
          <w:b/>
          <w:bCs/>
          <w:lang w:val="es-ES"/>
        </w:rPr>
      </w:pPr>
      <w:r>
        <w:rPr>
          <w:rFonts w:cs="Calibri"/>
          <w:b/>
          <w:bCs/>
          <w:lang w:val="es-ES"/>
        </w:rPr>
        <w:br w:type="page"/>
      </w:r>
    </w:p>
    <w:p w:rsidR="001C5E56" w:rsidRPr="00CF41F9" w:rsidRDefault="001C5E56">
      <w:pPr>
        <w:rPr>
          <w:rFonts w:cs="Calibri"/>
          <w:b/>
          <w:bCs/>
          <w:sz w:val="28"/>
          <w:szCs w:val="28"/>
          <w:lang w:val="es-ES"/>
        </w:rPr>
      </w:pPr>
      <w:r w:rsidRPr="00CF41F9">
        <w:rPr>
          <w:rFonts w:cs="Calibri"/>
          <w:b/>
          <w:bCs/>
          <w:sz w:val="28"/>
          <w:szCs w:val="28"/>
          <w:lang w:val="es-ES"/>
        </w:rPr>
        <w:t>MEDIDAS DE ADAPTACIÓN AL CAMBIO CLIMÁTICO:</w:t>
      </w:r>
    </w:p>
    <w:p w:rsidR="001C5E56" w:rsidRPr="00CF41F9" w:rsidRDefault="001C5E56">
      <w:pPr>
        <w:rPr>
          <w:rFonts w:cs="Calibri"/>
          <w:b/>
          <w:bCs/>
          <w:sz w:val="28"/>
          <w:szCs w:val="28"/>
          <w:lang w:val="es-ES"/>
        </w:rPr>
      </w:pPr>
    </w:p>
    <w:tbl>
      <w:tblPr>
        <w:tblW w:w="13985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20"/>
      </w:tblPr>
      <w:tblGrid>
        <w:gridCol w:w="1838"/>
        <w:gridCol w:w="3036"/>
        <w:gridCol w:w="3037"/>
        <w:gridCol w:w="3037"/>
        <w:gridCol w:w="3037"/>
      </w:tblGrid>
      <w:tr w:rsidR="001C5E56" w:rsidRPr="00C423EB" w:rsidTr="00C423EB">
        <w:trPr>
          <w:cantSplit/>
          <w:jc w:val="center"/>
        </w:trPr>
        <w:tc>
          <w:tcPr>
            <w:tcW w:w="18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2E74B5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ÁREA DE INTERVENCIÓN</w:t>
            </w:r>
          </w:p>
        </w:tc>
        <w:tc>
          <w:tcPr>
            <w:tcW w:w="3036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2E74B5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DOCUMENTO PRELIMINAR PACES</w:t>
            </w:r>
          </w:p>
        </w:tc>
        <w:tc>
          <w:tcPr>
            <w:tcW w:w="303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2E74B5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APORTACIONES MESA INTERSECTORIAL EPSP</w:t>
            </w:r>
          </w:p>
        </w:tc>
        <w:tc>
          <w:tcPr>
            <w:tcW w:w="303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2E74B5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APORTACIONES INTERNAS ÁREA DE PARTICIPACIÓN</w:t>
            </w:r>
          </w:p>
        </w:tc>
        <w:tc>
          <w:tcPr>
            <w:tcW w:w="3037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2E74B5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APORTACIONES DEL EQUIPO TÉCNICO</w:t>
            </w: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 w:val="restart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  <w:r w:rsidRPr="00C423EB">
              <w:rPr>
                <w:rFonts w:cs="Calibri"/>
                <w:lang w:val="es-ES"/>
              </w:rPr>
              <w:t>EDIFICACIÓN</w:t>
            </w: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Crear un Plan de mejorar la envolvente de los edificios municipales, y crear cubiertas y fachadas más verdes (pantallas verdes, y cubiertas vegetales) así como reverdecer también los espacios públicos (terrazas, balcones, patios, y tramos de calles)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Mejora de la envolvente de los edificios municipales</w:t>
            </w: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Aplicar técnicas de arquitectura bioclimática en la construcción y rehabilitación de edificios públicos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Crear cubiertas y fachadas más verdes en edificios públicos municipales y Centros Educativos, colocando pantallas verdes y cubiertas vegetales (mejora el confort térmico en verano, aumenta la infiltración y aprovechamiento de agua de lluvia y absorbe el CO2)</w:t>
            </w: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 w:val="restart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  <w:r w:rsidRPr="00C423EB">
              <w:rPr>
                <w:rFonts w:cs="Calibri"/>
                <w:lang w:val="es-ES"/>
              </w:rPr>
              <w:t>ZONAS VERDES</w:t>
            </w: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Red de parques urbanos sostenibles en Santa Úrsula</w:t>
            </w: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Realizar un Plan de Sombras, que contemple actuaciones en miradores, plazas, parques, zonas peatonales, jardines, …y en general en zonas de tránsito a pie y en los espacios donde se promueva el ocio y disfrute del entorno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Llevar a cabo un Plan de sombras, para maximizar la superficie sombreada en las principales áreas de tránsito de peatones, en parques, jardines, miradores, etc.)</w:t>
            </w: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Creación del cinturón verde de Santa Úrsula</w:t>
            </w: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Crear una red de fuentes con bebederos específicos para las personas y otros diferenciados para animales, evitando el uso de plásticos, y propiciando a la vez, la recuperación de los antiguos chorros de agua para recuperar de paso este bien patrimonial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Instalación de fuentes urbanas de agua potable (restaurando antiguos chorros y creando otros nuevos)</w:t>
            </w: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vMerge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 xml:space="preserve">Red de huertos urbanos y escolares </w:t>
            </w:r>
          </w:p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Crear espacios sin coche, “zonas libres de contaminación”, al menos que funcionen los fines de semana para fomentar el ocio y disfrute del tiempo libre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Reverdecer los espacios públicos (balcones, terrazas, patios y calles)</w:t>
            </w: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  <w:r w:rsidRPr="00C423EB">
              <w:rPr>
                <w:rFonts w:cs="Calibri"/>
                <w:lang w:val="es-ES"/>
              </w:rPr>
              <w:t>AGUA</w:t>
            </w: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Refuerzo de las infraestructuras de evacuación de aguas pluviales</w:t>
            </w: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Implantar sistemas de gestión de la huella hídrica en los edificios municipales y centros educativos, promoviendo medidas de ahorro y de reutilización</w:t>
            </w: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  <w:r w:rsidRPr="00C423EB">
              <w:rPr>
                <w:rFonts w:cs="Calibri"/>
                <w:lang w:val="es-ES"/>
              </w:rPr>
              <w:t>REGULACIÓN</w:t>
            </w: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Establecimiento de paquete de ordenanzas ecológicas y de adaptación al cambio climático</w:t>
            </w: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</w:tr>
      <w:tr w:rsidR="001C5E56" w:rsidRPr="00C423EB" w:rsidTr="00C423EB">
        <w:trPr>
          <w:cantSplit/>
          <w:jc w:val="center"/>
        </w:trPr>
        <w:tc>
          <w:tcPr>
            <w:tcW w:w="1838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  <w:r w:rsidRPr="00C423EB">
              <w:rPr>
                <w:rFonts w:cs="Calibri"/>
                <w:lang w:val="es-ES"/>
              </w:rPr>
              <w:t>RESIDUOS</w:t>
            </w:r>
          </w:p>
        </w:tc>
        <w:tc>
          <w:tcPr>
            <w:tcW w:w="3036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Puesta en funcionamiento de un sistema de prevención de residuos</w:t>
            </w: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bCs/>
                <w:lang w:val="es-ES"/>
              </w:rPr>
            </w:pPr>
            <w:r w:rsidRPr="00C423EB">
              <w:rPr>
                <w:rFonts w:cs="Calibri"/>
                <w:bCs/>
                <w:lang w:val="es-ES"/>
              </w:rPr>
              <w:t>Fomentar el compostaje doméstico y comunitario</w:t>
            </w:r>
          </w:p>
        </w:tc>
        <w:tc>
          <w:tcPr>
            <w:tcW w:w="3037" w:type="dxa"/>
            <w:shd w:val="clear" w:color="auto" w:fill="D9E2F3"/>
          </w:tcPr>
          <w:p w:rsidR="001C5E56" w:rsidRPr="00C423EB" w:rsidRDefault="001C5E56" w:rsidP="00C423EB">
            <w:pPr>
              <w:jc w:val="left"/>
              <w:rPr>
                <w:rFonts w:cs="Calibri"/>
                <w:b/>
                <w:bCs/>
                <w:lang w:val="es-ES"/>
              </w:rPr>
            </w:pPr>
          </w:p>
        </w:tc>
      </w:tr>
    </w:tbl>
    <w:p w:rsidR="001C5E56" w:rsidRDefault="001C5E56" w:rsidP="007225B2">
      <w:pPr>
        <w:rPr>
          <w:rFonts w:cs="Calibri"/>
          <w:lang w:val="es-ES"/>
        </w:rPr>
      </w:pPr>
    </w:p>
    <w:p w:rsidR="001C5E56" w:rsidRPr="007225B2" w:rsidRDefault="001C5E56">
      <w:pPr>
        <w:rPr>
          <w:rFonts w:cs="Calibri"/>
          <w:lang w:val="es-ES"/>
        </w:rPr>
      </w:pPr>
    </w:p>
    <w:p w:rsidR="001C5E56" w:rsidRDefault="001C5E56">
      <w:pPr>
        <w:rPr>
          <w:rFonts w:cs="Calibri"/>
          <w:b/>
          <w:bCs/>
          <w:lang w:val="es-ES"/>
        </w:rPr>
      </w:pPr>
      <w:r>
        <w:rPr>
          <w:rFonts w:cs="Calibri"/>
          <w:b/>
          <w:bCs/>
          <w:lang w:val="es-ES"/>
        </w:rPr>
        <w:br w:type="page"/>
      </w:r>
    </w:p>
    <w:p w:rsidR="001C5E56" w:rsidRPr="00CF41F9" w:rsidRDefault="001C5E56">
      <w:pPr>
        <w:rPr>
          <w:rFonts w:cs="Calibri"/>
          <w:b/>
          <w:bCs/>
          <w:sz w:val="28"/>
          <w:szCs w:val="28"/>
          <w:lang w:val="es-ES"/>
        </w:rPr>
      </w:pPr>
      <w:r w:rsidRPr="00CF41F9">
        <w:rPr>
          <w:rFonts w:cs="Calibri"/>
          <w:b/>
          <w:bCs/>
          <w:sz w:val="28"/>
          <w:szCs w:val="28"/>
          <w:lang w:val="es-ES"/>
        </w:rPr>
        <w:t>POBREZA ENERGÉTICA:</w:t>
      </w:r>
    </w:p>
    <w:p w:rsidR="001C5E56" w:rsidRPr="00AB3049" w:rsidRDefault="001C5E56">
      <w:pPr>
        <w:rPr>
          <w:rFonts w:cs="Calibri"/>
          <w:b/>
          <w:bCs/>
          <w:lang w:val="es-ES"/>
        </w:rPr>
      </w:pPr>
    </w:p>
    <w:tbl>
      <w:tblPr>
        <w:tblW w:w="13990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20"/>
      </w:tblPr>
      <w:tblGrid>
        <w:gridCol w:w="1842"/>
        <w:gridCol w:w="3037"/>
        <w:gridCol w:w="3037"/>
        <w:gridCol w:w="3037"/>
        <w:gridCol w:w="3037"/>
      </w:tblGrid>
      <w:tr w:rsidR="001C5E56" w:rsidRPr="00C423EB" w:rsidTr="00C423EB">
        <w:trPr>
          <w:cantSplit/>
          <w:tblHeader/>
          <w:jc w:val="center"/>
        </w:trPr>
        <w:tc>
          <w:tcPr>
            <w:tcW w:w="18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928758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ÁREA DE INTERVENCIÓN</w:t>
            </w:r>
          </w:p>
        </w:tc>
        <w:tc>
          <w:tcPr>
            <w:tcW w:w="303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928758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DOCUMENTO PRELIMINAR PACES</w:t>
            </w:r>
          </w:p>
        </w:tc>
        <w:tc>
          <w:tcPr>
            <w:tcW w:w="303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928758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APORTACIONES MESA INTERSECTORIAL EPSP</w:t>
            </w:r>
          </w:p>
        </w:tc>
        <w:tc>
          <w:tcPr>
            <w:tcW w:w="303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928758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APORTACIONES INTERNAS ÁREA DE PARTICIPACIÓN</w:t>
            </w:r>
          </w:p>
        </w:tc>
        <w:tc>
          <w:tcPr>
            <w:tcW w:w="3037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928758"/>
            <w:vAlign w:val="center"/>
          </w:tcPr>
          <w:p w:rsidR="001C5E56" w:rsidRPr="00C423EB" w:rsidRDefault="001C5E56" w:rsidP="00C423EB">
            <w:pPr>
              <w:jc w:val="center"/>
              <w:rPr>
                <w:rFonts w:cs="Calibri"/>
                <w:b/>
                <w:bCs/>
                <w:color w:val="FFFFFF"/>
                <w:lang w:val="es-ES"/>
              </w:rPr>
            </w:pPr>
            <w:r w:rsidRPr="00C423EB">
              <w:rPr>
                <w:rFonts w:cs="Calibri"/>
                <w:bCs/>
                <w:color w:val="FFFFFF"/>
                <w:lang w:val="es-ES"/>
              </w:rPr>
              <w:t>APORTACIONES DEL EQUIPO TÉCNICO</w:t>
            </w:r>
          </w:p>
        </w:tc>
      </w:tr>
      <w:tr w:rsidR="001C5E56" w:rsidRPr="00C423EB" w:rsidTr="00C423EB">
        <w:trPr>
          <w:cantSplit/>
          <w:jc w:val="center"/>
        </w:trPr>
        <w:tc>
          <w:tcPr>
            <w:tcW w:w="1842" w:type="dxa"/>
            <w:shd w:val="clear" w:color="auto" w:fill="D8D3BE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  <w:r w:rsidRPr="00C423EB">
              <w:rPr>
                <w:rFonts w:cs="Calibri"/>
                <w:lang w:val="es-ES"/>
              </w:rPr>
              <w:t>FAMILIAS Y COLECTIVOS DESFAVORECIDOS</w:t>
            </w: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  <w:shd w:val="clear" w:color="auto" w:fill="D8D3BE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  <w:shd w:val="clear" w:color="auto" w:fill="D8D3BE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  <w:r w:rsidRPr="00C423EB">
              <w:rPr>
                <w:rFonts w:cs="Calibri"/>
                <w:lang w:val="es-ES"/>
              </w:rPr>
              <w:t>Diagnóstico de habitabilidad y energético de las viviendas de personas y colectivos desfavorecidos</w:t>
            </w:r>
          </w:p>
        </w:tc>
      </w:tr>
      <w:tr w:rsidR="001C5E56" w:rsidRPr="00C423EB" w:rsidTr="00C423EB">
        <w:trPr>
          <w:cantSplit/>
          <w:jc w:val="center"/>
        </w:trPr>
        <w:tc>
          <w:tcPr>
            <w:tcW w:w="1842" w:type="dxa"/>
            <w:shd w:val="clear" w:color="auto" w:fill="D8D3BE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  <w:shd w:val="clear" w:color="auto" w:fill="D8D3BE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  <w:shd w:val="clear" w:color="auto" w:fill="D8D3BE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  <w:r w:rsidRPr="00C423EB">
              <w:rPr>
                <w:rFonts w:cs="Calibri"/>
                <w:lang w:val="es-ES"/>
              </w:rPr>
              <w:t>Construcción y rehabilitación de viviendas sociales con criterios de sostenibilidad y de ahorro y eficiencia energética</w:t>
            </w:r>
          </w:p>
        </w:tc>
      </w:tr>
      <w:tr w:rsidR="001C5E56" w:rsidRPr="00C423EB" w:rsidTr="00C423EB">
        <w:trPr>
          <w:cantSplit/>
          <w:jc w:val="center"/>
        </w:trPr>
        <w:tc>
          <w:tcPr>
            <w:tcW w:w="1842" w:type="dxa"/>
            <w:shd w:val="clear" w:color="auto" w:fill="D8D3BE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  <w:shd w:val="clear" w:color="auto" w:fill="D8D3BE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  <w:shd w:val="clear" w:color="auto" w:fill="D8D3BE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  <w:r w:rsidRPr="00C423EB">
              <w:rPr>
                <w:rFonts w:cs="Calibri"/>
                <w:lang w:val="es-ES"/>
              </w:rPr>
              <w:t>Desarrollo del autoconsumo fotovoltaico en viviendas sociales</w:t>
            </w:r>
          </w:p>
        </w:tc>
      </w:tr>
      <w:tr w:rsidR="001C5E56" w:rsidRPr="00C423EB" w:rsidTr="00C423EB">
        <w:trPr>
          <w:cantSplit/>
          <w:jc w:val="center"/>
        </w:trPr>
        <w:tc>
          <w:tcPr>
            <w:tcW w:w="1842" w:type="dxa"/>
            <w:shd w:val="clear" w:color="auto" w:fill="D8D3BE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  <w:shd w:val="clear" w:color="auto" w:fill="D8D3BE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</w:p>
        </w:tc>
        <w:tc>
          <w:tcPr>
            <w:tcW w:w="3037" w:type="dxa"/>
            <w:shd w:val="clear" w:color="auto" w:fill="D8D3BE"/>
          </w:tcPr>
          <w:p w:rsidR="001C5E56" w:rsidRPr="00C423EB" w:rsidRDefault="001C5E56" w:rsidP="00C423EB">
            <w:pPr>
              <w:jc w:val="left"/>
              <w:rPr>
                <w:rFonts w:cs="Calibri"/>
                <w:lang w:val="es-ES"/>
              </w:rPr>
            </w:pPr>
            <w:r w:rsidRPr="00C423EB">
              <w:rPr>
                <w:rFonts w:cs="Calibri"/>
                <w:lang w:val="es-ES"/>
              </w:rPr>
              <w:t>Difusión y formación a las personas en situación o riesgo de exclusión en materia de energía</w:t>
            </w:r>
          </w:p>
        </w:tc>
      </w:tr>
    </w:tbl>
    <w:p w:rsidR="001C5E56" w:rsidRPr="007225B2" w:rsidRDefault="001C5E56" w:rsidP="00F43633">
      <w:pPr>
        <w:rPr>
          <w:rFonts w:cs="Calibri"/>
        </w:rPr>
      </w:pPr>
    </w:p>
    <w:sectPr w:rsidR="001C5E56" w:rsidRPr="007225B2" w:rsidSect="00B31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56" w:rsidRDefault="001C5E56" w:rsidP="00393DBE">
      <w:r>
        <w:separator/>
      </w:r>
    </w:p>
  </w:endnote>
  <w:endnote w:type="continuationSeparator" w:id="0">
    <w:p w:rsidR="001C5E56" w:rsidRDefault="001C5E56" w:rsidP="0039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 Light">
    <w:altName w:val="Sego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56" w:rsidRDefault="001C5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56" w:rsidRDefault="001C5E5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C5E56" w:rsidRDefault="001C5E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56" w:rsidRDefault="001C5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56" w:rsidRDefault="001C5E56" w:rsidP="00393DBE">
      <w:r>
        <w:separator/>
      </w:r>
    </w:p>
  </w:footnote>
  <w:footnote w:type="continuationSeparator" w:id="0">
    <w:p w:rsidR="001C5E56" w:rsidRDefault="001C5E56" w:rsidP="00393DBE">
      <w:r>
        <w:continuationSeparator/>
      </w:r>
    </w:p>
  </w:footnote>
  <w:footnote w:id="1">
    <w:p w:rsidR="001C5E56" w:rsidRDefault="001C5E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310A">
        <w:t>Mesa Intersectorial de la Estrategia de Promoción de la Salud y Prevención del Sistema Nacional de Salud (Ayto. de Santa Úrsula)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56" w:rsidRDefault="001C5E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56" w:rsidRDefault="001C5E56" w:rsidP="002B344A">
    <w:pPr>
      <w:pStyle w:val="Header"/>
      <w:jc w:val="right"/>
    </w:pPr>
    <w:r w:rsidRPr="00C423EB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6" type="#_x0000_t75" alt="logo paces 5 def.jpg" style="width:242.25pt;height:43.5pt;visibility:visible">
          <v:imagedata r:id="rId1" o:title=""/>
        </v:shape>
      </w:pict>
    </w:r>
  </w:p>
  <w:p w:rsidR="001C5E56" w:rsidRDefault="001C5E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56" w:rsidRDefault="001C5E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136"/>
    <w:multiLevelType w:val="hybridMultilevel"/>
    <w:tmpl w:val="D62AA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1F77"/>
    <w:multiLevelType w:val="hybridMultilevel"/>
    <w:tmpl w:val="AF721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C6466"/>
    <w:multiLevelType w:val="hybridMultilevel"/>
    <w:tmpl w:val="B3926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E5D"/>
    <w:multiLevelType w:val="hybridMultilevel"/>
    <w:tmpl w:val="FEB8A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77F02"/>
    <w:multiLevelType w:val="hybridMultilevel"/>
    <w:tmpl w:val="F5F8ABF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8B4864"/>
    <w:multiLevelType w:val="multilevel"/>
    <w:tmpl w:val="AF6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53330C2C"/>
    <w:multiLevelType w:val="hybridMultilevel"/>
    <w:tmpl w:val="8820B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03019"/>
    <w:multiLevelType w:val="hybridMultilevel"/>
    <w:tmpl w:val="569E5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56E39"/>
    <w:multiLevelType w:val="multilevel"/>
    <w:tmpl w:val="B562FB64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cs="Times New Roman" w:hint="default"/>
      </w:rPr>
    </w:lvl>
  </w:abstractNum>
  <w:abstractNum w:abstractNumId="9">
    <w:nsid w:val="5738477C"/>
    <w:multiLevelType w:val="hybridMultilevel"/>
    <w:tmpl w:val="DCFA2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D3EA5"/>
    <w:multiLevelType w:val="hybridMultilevel"/>
    <w:tmpl w:val="7472B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9491C"/>
    <w:multiLevelType w:val="hybridMultilevel"/>
    <w:tmpl w:val="A558CCA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646D4D"/>
    <w:multiLevelType w:val="multilevel"/>
    <w:tmpl w:val="9F38A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28F"/>
    <w:rsid w:val="000549B1"/>
    <w:rsid w:val="00055B01"/>
    <w:rsid w:val="00064376"/>
    <w:rsid w:val="00096E2F"/>
    <w:rsid w:val="00173069"/>
    <w:rsid w:val="001C5E56"/>
    <w:rsid w:val="002B344A"/>
    <w:rsid w:val="00317875"/>
    <w:rsid w:val="003547AF"/>
    <w:rsid w:val="00393DBE"/>
    <w:rsid w:val="003D1D4C"/>
    <w:rsid w:val="003D638E"/>
    <w:rsid w:val="00567AF2"/>
    <w:rsid w:val="005B29E2"/>
    <w:rsid w:val="00647582"/>
    <w:rsid w:val="0065745C"/>
    <w:rsid w:val="007225B2"/>
    <w:rsid w:val="007B287E"/>
    <w:rsid w:val="008814DD"/>
    <w:rsid w:val="009066D0"/>
    <w:rsid w:val="00A81CEC"/>
    <w:rsid w:val="00AB3049"/>
    <w:rsid w:val="00B0310A"/>
    <w:rsid w:val="00B31CF9"/>
    <w:rsid w:val="00BA7977"/>
    <w:rsid w:val="00BB7F36"/>
    <w:rsid w:val="00C423EB"/>
    <w:rsid w:val="00CC13EB"/>
    <w:rsid w:val="00CD70E7"/>
    <w:rsid w:val="00CE5633"/>
    <w:rsid w:val="00CF41F9"/>
    <w:rsid w:val="00D05A0C"/>
    <w:rsid w:val="00D23EA3"/>
    <w:rsid w:val="00D4714C"/>
    <w:rsid w:val="00E0228F"/>
    <w:rsid w:val="00E03258"/>
    <w:rsid w:val="00E03BF5"/>
    <w:rsid w:val="00E2093E"/>
    <w:rsid w:val="00E51972"/>
    <w:rsid w:val="00E64A68"/>
    <w:rsid w:val="00EE0B94"/>
    <w:rsid w:val="00EF0DE1"/>
    <w:rsid w:val="00F21818"/>
    <w:rsid w:val="00F3433F"/>
    <w:rsid w:val="00F43633"/>
    <w:rsid w:val="00F60524"/>
    <w:rsid w:val="00FE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3069"/>
    <w:pPr>
      <w:jc w:val="both"/>
    </w:pPr>
    <w:rPr>
      <w:lang w:val="es-ES_tradnl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7582"/>
    <w:pPr>
      <w:keepNext/>
      <w:keepLines/>
      <w:spacing w:before="840"/>
      <w:outlineLvl w:val="0"/>
    </w:pPr>
    <w:rPr>
      <w:rFonts w:ascii="Calibri Light" w:hAnsi="Calibri Light"/>
      <w:b/>
      <w:color w:val="1F3864"/>
      <w:sz w:val="32"/>
      <w:lang w:val="es-ES" w:eastAsia="es-E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47582"/>
    <w:pPr>
      <w:keepNext/>
      <w:keepLines/>
      <w:spacing w:before="480"/>
      <w:outlineLvl w:val="1"/>
    </w:pPr>
    <w:rPr>
      <w:rFonts w:ascii="Calibri Light" w:hAnsi="Calibri Light"/>
      <w:b/>
      <w:color w:val="2F5496"/>
      <w:sz w:val="28"/>
      <w:lang w:val="es-ES" w:eastAsia="es-E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03BF5"/>
    <w:pPr>
      <w:keepNext/>
      <w:keepLines/>
      <w:spacing w:before="360"/>
      <w:outlineLvl w:val="2"/>
    </w:pPr>
    <w:rPr>
      <w:rFonts w:ascii="Calibri Light" w:eastAsia="Times New Roman" w:hAnsi="Calibri Light"/>
      <w:b/>
      <w:color w:val="4472C4"/>
      <w:sz w:val="24"/>
      <w:szCs w:val="24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582"/>
    <w:rPr>
      <w:rFonts w:ascii="Calibri Light" w:eastAsia="Times New Roman" w:hAnsi="Calibri Light"/>
      <w:b/>
      <w:color w:val="1F3864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7582"/>
    <w:rPr>
      <w:rFonts w:ascii="Calibri Light" w:eastAsia="Times New Roman" w:hAnsi="Calibri Light"/>
      <w:b/>
      <w:color w:val="2F5496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3BF5"/>
    <w:rPr>
      <w:rFonts w:ascii="Calibri Light" w:hAnsi="Calibri Light" w:cs="Times New Roman"/>
      <w:b/>
      <w:color w:val="4472C4"/>
      <w:sz w:val="24"/>
      <w:szCs w:val="24"/>
    </w:rPr>
  </w:style>
  <w:style w:type="paragraph" w:customStyle="1" w:styleId="Arial">
    <w:name w:val="Arial"/>
    <w:basedOn w:val="Heading1"/>
    <w:next w:val="Heading2"/>
    <w:link w:val="ArialCar"/>
    <w:uiPriority w:val="99"/>
    <w:rsid w:val="003547AF"/>
    <w:rPr>
      <w:rFonts w:ascii="Arial" w:hAnsi="Arial"/>
      <w:color w:val="404040"/>
    </w:rPr>
  </w:style>
  <w:style w:type="character" w:customStyle="1" w:styleId="ArialCar">
    <w:name w:val="Arial Car"/>
    <w:basedOn w:val="Heading1Char"/>
    <w:link w:val="Arial"/>
    <w:uiPriority w:val="99"/>
    <w:locked/>
    <w:rsid w:val="003547AF"/>
    <w:rPr>
      <w:rFonts w:ascii="Arial" w:hAnsi="Arial" w:cs="Times New Roman"/>
      <w:color w:val="404040"/>
      <w:sz w:val="32"/>
      <w:szCs w:val="32"/>
      <w:u w:color="000000"/>
      <w:lang w:bidi="ar-SA"/>
    </w:rPr>
  </w:style>
  <w:style w:type="paragraph" w:customStyle="1" w:styleId="InformesGillSans">
    <w:name w:val="Informes Gill Sans"/>
    <w:basedOn w:val="TOCHeading"/>
    <w:next w:val="TOCHeading"/>
    <w:link w:val="InformesGillSansCar"/>
    <w:uiPriority w:val="99"/>
    <w:rsid w:val="00BB7F36"/>
    <w:pPr>
      <w:numPr>
        <w:ilvl w:val="3"/>
      </w:numPr>
      <w:spacing w:before="0" w:line="259" w:lineRule="auto"/>
      <w:jc w:val="left"/>
    </w:pPr>
  </w:style>
  <w:style w:type="character" w:customStyle="1" w:styleId="InformesGillSansCar">
    <w:name w:val="Informes Gill Sans Car"/>
    <w:basedOn w:val="DefaultParagraphFont"/>
    <w:link w:val="InformesGillSans"/>
    <w:uiPriority w:val="99"/>
    <w:locked/>
    <w:rsid w:val="00BB7F36"/>
    <w:rPr>
      <w:rFonts w:ascii="Calibri Light" w:hAnsi="Calibri Light" w:cs="Times New Roman"/>
      <w:color w:val="2F5496"/>
      <w:sz w:val="32"/>
      <w:szCs w:val="32"/>
      <w:lang w:eastAsia="es-ES"/>
    </w:rPr>
  </w:style>
  <w:style w:type="paragraph" w:styleId="TOC1">
    <w:name w:val="toc 1"/>
    <w:basedOn w:val="Normal"/>
    <w:next w:val="Normal"/>
    <w:autoRedefine/>
    <w:uiPriority w:val="99"/>
    <w:semiHidden/>
    <w:rsid w:val="00BB7F36"/>
    <w:pPr>
      <w:spacing w:after="100"/>
    </w:pPr>
  </w:style>
  <w:style w:type="paragraph" w:styleId="TOCHeading">
    <w:name w:val="TOC Heading"/>
    <w:basedOn w:val="Heading1"/>
    <w:next w:val="Normal"/>
    <w:uiPriority w:val="99"/>
    <w:qFormat/>
    <w:rsid w:val="00BB7F36"/>
    <w:pPr>
      <w:spacing w:before="240"/>
      <w:outlineLvl w:val="9"/>
    </w:pPr>
    <w:rPr>
      <w:b w:val="0"/>
      <w:color w:val="2F5496"/>
    </w:rPr>
  </w:style>
  <w:style w:type="paragraph" w:customStyle="1" w:styleId="T1GillSans">
    <w:name w:val="T1 Gill Sans"/>
    <w:basedOn w:val="TOC1"/>
    <w:next w:val="NormalGillSans"/>
    <w:link w:val="T1GillSansCar"/>
    <w:uiPriority w:val="99"/>
    <w:rsid w:val="00BB7F36"/>
    <w:pPr>
      <w:spacing w:before="840" w:after="0"/>
    </w:pPr>
    <w:rPr>
      <w:rFonts w:ascii="Gill Sans MT" w:hAnsi="Gill Sans MT"/>
      <w:sz w:val="36"/>
    </w:rPr>
  </w:style>
  <w:style w:type="character" w:customStyle="1" w:styleId="T1GillSansCar">
    <w:name w:val="T1 Gill Sans Car"/>
    <w:basedOn w:val="DefaultParagraphFont"/>
    <w:link w:val="T1GillSans"/>
    <w:uiPriority w:val="99"/>
    <w:locked/>
    <w:rsid w:val="00BB7F36"/>
    <w:rPr>
      <w:rFonts w:ascii="Gill Sans MT" w:hAnsi="Gill Sans MT" w:cs="Times New Roman"/>
      <w:sz w:val="36"/>
      <w:lang w:val="es-ES_tradnl"/>
    </w:rPr>
  </w:style>
  <w:style w:type="paragraph" w:customStyle="1" w:styleId="T2GillSans">
    <w:name w:val="T2 Gill Sans"/>
    <w:basedOn w:val="TOC2"/>
    <w:next w:val="NormalGillSans"/>
    <w:link w:val="T2GillSansCar"/>
    <w:uiPriority w:val="99"/>
    <w:rsid w:val="00BB7F36"/>
    <w:pPr>
      <w:spacing w:before="720" w:after="0"/>
      <w:ind w:left="0"/>
    </w:pPr>
    <w:rPr>
      <w:rFonts w:ascii="Gill Sans MT" w:hAnsi="Gill Sans MT"/>
      <w:sz w:val="32"/>
    </w:rPr>
  </w:style>
  <w:style w:type="character" w:customStyle="1" w:styleId="T2GillSansCar">
    <w:name w:val="T2 Gill Sans Car"/>
    <w:basedOn w:val="DefaultParagraphFont"/>
    <w:link w:val="T2GillSans"/>
    <w:uiPriority w:val="99"/>
    <w:locked/>
    <w:rsid w:val="00BB7F36"/>
    <w:rPr>
      <w:rFonts w:ascii="Gill Sans MT" w:hAnsi="Gill Sans MT" w:cs="Times New Roman"/>
      <w:sz w:val="32"/>
      <w:lang w:val="es-ES_tradnl"/>
    </w:rPr>
  </w:style>
  <w:style w:type="paragraph" w:styleId="TOC2">
    <w:name w:val="toc 2"/>
    <w:basedOn w:val="Normal"/>
    <w:next w:val="Normal"/>
    <w:autoRedefine/>
    <w:uiPriority w:val="99"/>
    <w:semiHidden/>
    <w:rsid w:val="00BB7F36"/>
    <w:pPr>
      <w:spacing w:after="100"/>
      <w:ind w:left="220"/>
    </w:pPr>
  </w:style>
  <w:style w:type="paragraph" w:customStyle="1" w:styleId="T3GillSans">
    <w:name w:val="T3 Gill Sans"/>
    <w:basedOn w:val="Normal"/>
    <w:next w:val="NormalGillSans"/>
    <w:link w:val="T3GillSansCar"/>
    <w:uiPriority w:val="99"/>
    <w:rsid w:val="00BB7F36"/>
    <w:pPr>
      <w:spacing w:before="480"/>
    </w:pPr>
    <w:rPr>
      <w:rFonts w:ascii="Gill Sans MT" w:hAnsi="Gill Sans MT"/>
      <w:sz w:val="28"/>
    </w:rPr>
  </w:style>
  <w:style w:type="character" w:customStyle="1" w:styleId="T3GillSansCar">
    <w:name w:val="T3 Gill Sans Car"/>
    <w:basedOn w:val="DefaultParagraphFont"/>
    <w:link w:val="T3GillSans"/>
    <w:uiPriority w:val="99"/>
    <w:locked/>
    <w:rsid w:val="00BB7F36"/>
    <w:rPr>
      <w:rFonts w:ascii="Gill Sans MT" w:hAnsi="Gill Sans MT" w:cs="Times New Roman"/>
      <w:sz w:val="28"/>
      <w:lang w:val="es-ES_tradnl"/>
    </w:rPr>
  </w:style>
  <w:style w:type="paragraph" w:customStyle="1" w:styleId="T4GillSans">
    <w:name w:val="T4 Gill Sans"/>
    <w:basedOn w:val="T3GillSans"/>
    <w:next w:val="Normal"/>
    <w:link w:val="T4GillSansCar"/>
    <w:uiPriority w:val="99"/>
    <w:rsid w:val="00BB7F36"/>
    <w:pPr>
      <w:spacing w:before="360"/>
    </w:pPr>
  </w:style>
  <w:style w:type="character" w:customStyle="1" w:styleId="T4GillSansCar">
    <w:name w:val="T4 Gill Sans Car"/>
    <w:basedOn w:val="T3GillSansCar"/>
    <w:link w:val="T4GillSans"/>
    <w:uiPriority w:val="99"/>
    <w:locked/>
    <w:rsid w:val="00BB7F36"/>
  </w:style>
  <w:style w:type="paragraph" w:customStyle="1" w:styleId="NormalGillSans">
    <w:name w:val="Normal Gill Sans"/>
    <w:basedOn w:val="Normal"/>
    <w:uiPriority w:val="99"/>
    <w:rsid w:val="00CC13EB"/>
    <w:pPr>
      <w:spacing w:before="240" w:after="240" w:line="300" w:lineRule="exact"/>
    </w:pPr>
    <w:rPr>
      <w:rFonts w:ascii="Gill Sans Nova Light" w:hAnsi="Gill Sans Nova Light"/>
    </w:rPr>
  </w:style>
  <w:style w:type="paragraph" w:styleId="ListParagraph">
    <w:name w:val="List Paragraph"/>
    <w:basedOn w:val="Normal"/>
    <w:uiPriority w:val="99"/>
    <w:qFormat/>
    <w:rsid w:val="00F43633"/>
    <w:pPr>
      <w:spacing w:after="200" w:line="276" w:lineRule="auto"/>
      <w:ind w:left="720"/>
      <w:contextualSpacing/>
      <w:jc w:val="left"/>
    </w:pPr>
    <w:rPr>
      <w:rFonts w:ascii="Arial" w:hAnsi="Arial" w:cs="Arial"/>
      <w:b/>
      <w:color w:val="333333"/>
      <w:sz w:val="27"/>
      <w:szCs w:val="27"/>
      <w:lang w:val="es-ES"/>
    </w:rPr>
  </w:style>
  <w:style w:type="table" w:styleId="TableGrid">
    <w:name w:val="Table Grid"/>
    <w:basedOn w:val="TableNormal"/>
    <w:uiPriority w:val="99"/>
    <w:rsid w:val="00F43633"/>
    <w:rPr>
      <w:rFonts w:ascii="Arial" w:hAnsi="Arial" w:cs="Arial"/>
      <w:b/>
      <w:color w:val="333333"/>
      <w:sz w:val="27"/>
      <w:szCs w:val="2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93D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3DBE"/>
    <w:rPr>
      <w:rFonts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rsid w:val="00393DBE"/>
    <w:rPr>
      <w:rFonts w:cs="Times New Roman"/>
      <w:vertAlign w:val="superscript"/>
    </w:rPr>
  </w:style>
  <w:style w:type="table" w:customStyle="1" w:styleId="GridTable4Accent6">
    <w:name w:val="Grid Table 4 Accent 6"/>
    <w:uiPriority w:val="99"/>
    <w:rsid w:val="00B31CF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B031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310A"/>
    <w:rPr>
      <w:rFonts w:cs="Times New Roman"/>
      <w:sz w:val="20"/>
      <w:szCs w:val="20"/>
      <w:lang w:val="es-ES_tradnl"/>
    </w:rPr>
  </w:style>
  <w:style w:type="character" w:styleId="EndnoteReference">
    <w:name w:val="endnote reference"/>
    <w:basedOn w:val="DefaultParagraphFont"/>
    <w:uiPriority w:val="99"/>
    <w:semiHidden/>
    <w:rsid w:val="00B0310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B344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44A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2B344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344A"/>
    <w:rPr>
      <w:rFonts w:cs="Times New Roman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2B3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44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1839</Words>
  <Characters>10115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BLOQUES DE MEDIDAS DEL PLAN DE ACCIÓN PARA EL CLIMA Y LA ENERGÍA SOSTENIBLE DEL MUNICIPIO DE SANTA ÚRSULA</dc:title>
  <dc:subject/>
  <dc:creator>Agustín González Martín</dc:creator>
  <cp:keywords/>
  <dc:description/>
  <cp:lastModifiedBy>jgutierrez</cp:lastModifiedBy>
  <cp:revision>2</cp:revision>
  <cp:lastPrinted>2020-09-08T08:09:00Z</cp:lastPrinted>
  <dcterms:created xsi:type="dcterms:W3CDTF">2020-09-10T12:19:00Z</dcterms:created>
  <dcterms:modified xsi:type="dcterms:W3CDTF">2020-09-10T12:19:00Z</dcterms:modified>
</cp:coreProperties>
</file>